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21" w:rsidRDefault="00E0597A" w:rsidP="00E0597A">
      <w:pPr>
        <w:jc w:val="center"/>
        <w:rPr>
          <w:b/>
          <w:sz w:val="28"/>
          <w:szCs w:val="28"/>
        </w:rPr>
      </w:pPr>
      <w:r w:rsidRPr="00E0597A">
        <w:rPr>
          <w:b/>
          <w:sz w:val="28"/>
          <w:szCs w:val="28"/>
        </w:rPr>
        <w:t>Местная администрация</w:t>
      </w:r>
      <w:r w:rsidRPr="00E0597A">
        <w:rPr>
          <w:b/>
          <w:sz w:val="28"/>
          <w:szCs w:val="28"/>
        </w:rPr>
        <w:br/>
      </w:r>
      <w:r w:rsidRPr="00E0597A">
        <w:rPr>
          <w:sz w:val="24"/>
          <w:szCs w:val="24"/>
        </w:rPr>
        <w:t>внутригородского муниципального образования</w:t>
      </w:r>
      <w:r w:rsidRPr="00E0597A">
        <w:rPr>
          <w:sz w:val="24"/>
          <w:szCs w:val="24"/>
        </w:rPr>
        <w:br/>
        <w:t>города федерального значения</w:t>
      </w:r>
      <w:r w:rsidRPr="00E0597A">
        <w:rPr>
          <w:sz w:val="24"/>
          <w:szCs w:val="24"/>
        </w:rPr>
        <w:br/>
        <w:t>Санкт-Петербурга</w:t>
      </w:r>
      <w:r w:rsidRPr="00E0597A">
        <w:rPr>
          <w:sz w:val="24"/>
          <w:szCs w:val="24"/>
        </w:rPr>
        <w:br/>
        <w:t>муниципальный округ</w:t>
      </w:r>
      <w:r w:rsidRPr="00E0597A">
        <w:rPr>
          <w:sz w:val="24"/>
          <w:szCs w:val="24"/>
        </w:rPr>
        <w:br/>
      </w:r>
      <w:r w:rsidRPr="00E0597A">
        <w:rPr>
          <w:b/>
          <w:sz w:val="28"/>
          <w:szCs w:val="28"/>
        </w:rPr>
        <w:t>Северный</w:t>
      </w:r>
    </w:p>
    <w:p w:rsidR="009D1119" w:rsidRDefault="009D1119" w:rsidP="009D1119">
      <w:pPr>
        <w:spacing w:before="284" w:after="284"/>
        <w:jc w:val="center"/>
        <w:rPr>
          <w:b/>
          <w:sz w:val="28"/>
          <w:szCs w:val="28"/>
        </w:rPr>
      </w:pPr>
      <w:r w:rsidRPr="009D1119">
        <w:rPr>
          <w:b/>
          <w:sz w:val="28"/>
          <w:szCs w:val="28"/>
        </w:rPr>
        <w:t>ПОСТАНОВЛЕНИЕ</w:t>
      </w:r>
    </w:p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Об утверждении муниципальной программы</w:t>
      </w:r>
    </w:p>
    <w:p w:rsidR="008D584B" w:rsidRPr="008D584B" w:rsidRDefault="008D584B" w:rsidP="008D584B">
      <w:pPr>
        <w:ind w:firstLine="709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«Реализация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проездах» на 2021 год</w:t>
      </w:r>
    </w:p>
    <w:p w:rsidR="00E0597A" w:rsidRDefault="008D584B" w:rsidP="00E0597A">
      <w:pPr>
        <w:tabs>
          <w:tab w:val="right" w:pos="9638"/>
        </w:tabs>
        <w:spacing w:before="397" w:after="397"/>
        <w:jc w:val="both"/>
        <w:rPr>
          <w:b/>
          <w:szCs w:val="26"/>
        </w:rPr>
      </w:pPr>
      <w:r w:rsidRPr="007C39CD">
        <w:rPr>
          <w:b/>
          <w:szCs w:val="26"/>
        </w:rPr>
        <w:t xml:space="preserve"> </w:t>
      </w:r>
      <w:r>
        <w:rPr>
          <w:b/>
          <w:szCs w:val="26"/>
        </w:rPr>
        <w:t>«14» декабря 2020</w:t>
      </w:r>
      <w:r w:rsidR="00E0597A" w:rsidRPr="007C39CD">
        <w:rPr>
          <w:b/>
          <w:szCs w:val="26"/>
        </w:rPr>
        <w:t>г.</w:t>
      </w:r>
      <w:r w:rsidR="00E0597A">
        <w:rPr>
          <w:b/>
          <w:szCs w:val="26"/>
        </w:rPr>
        <w:tab/>
      </w:r>
      <w:r>
        <w:rPr>
          <w:b/>
          <w:szCs w:val="26"/>
        </w:rPr>
        <w:t>№</w:t>
      </w:r>
      <w:r>
        <w:rPr>
          <w:b/>
          <w:bCs/>
          <w:szCs w:val="26"/>
        </w:rPr>
        <w:t>88-МА-2020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D584B" w:rsidRPr="008D584B" w:rsidTr="00AB53A0">
        <w:tc>
          <w:tcPr>
            <w:tcW w:w="9923" w:type="dxa"/>
            <w:shd w:val="clear" w:color="auto" w:fill="auto"/>
          </w:tcPr>
          <w:p w:rsidR="008D584B" w:rsidRPr="008D584B" w:rsidRDefault="008D584B" w:rsidP="008D584B">
            <w:pPr>
              <w:tabs>
                <w:tab w:val="left" w:pos="706"/>
              </w:tabs>
              <w:ind w:left="-108" w:right="-108" w:firstLine="709"/>
              <w:jc w:val="both"/>
              <w:rPr>
                <w:rFonts w:eastAsia="Calibri" w:cs="Times New Roman"/>
                <w:szCs w:val="26"/>
              </w:rPr>
            </w:pPr>
            <w:proofErr w:type="gramStart"/>
            <w:r w:rsidRPr="008D584B">
              <w:rPr>
                <w:rFonts w:eastAsia="Calibri" w:cs="Times New Roman"/>
                <w:szCs w:val="26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  <w:r w:rsidRPr="008D584B">
              <w:rPr>
                <w:rFonts w:eastAsia="Calibri" w:cs="Times New Roman"/>
                <w:bCs/>
                <w:szCs w:val="26"/>
                <w:lang w:eastAsia="ru-RU"/>
              </w:rPr>
              <w:t>Фед</w:t>
            </w:r>
            <w:r>
              <w:rPr>
                <w:rFonts w:eastAsia="Calibri" w:cs="Times New Roman"/>
                <w:bCs/>
                <w:szCs w:val="26"/>
                <w:lang w:eastAsia="ru-RU"/>
              </w:rPr>
              <w:t xml:space="preserve">еральным законом от 10.12.1995 </w:t>
            </w:r>
            <w:r w:rsidRPr="008D584B">
              <w:rPr>
                <w:rFonts w:eastAsia="Calibri" w:cs="Times New Roman"/>
                <w:bCs/>
                <w:szCs w:val="26"/>
                <w:lang w:eastAsia="ru-RU"/>
              </w:rPr>
              <w:t>№196-ФЗ «О безопасности дорожного движения»,</w:t>
            </w:r>
            <w:r w:rsidRPr="008D584B">
              <w:rPr>
                <w:rFonts w:eastAsia="Calibri" w:cs="Times New Roman"/>
                <w:color w:val="000000"/>
                <w:szCs w:val="26"/>
              </w:rPr>
              <w:t xml:space="preserve"> </w:t>
            </w:r>
            <w:r w:rsidRPr="008D584B">
              <w:rPr>
                <w:rFonts w:eastAsia="Calibri" w:cs="Times New Roman"/>
                <w:bCs/>
                <w:szCs w:val="26"/>
                <w:lang w:eastAsia="ru-RU"/>
              </w:rPr>
              <w:t xml:space="preserve">пп.27 п.1 ст.10 </w:t>
            </w:r>
            <w:r w:rsidRPr="008D584B">
              <w:rPr>
                <w:rFonts w:eastAsia="Calibri" w:cs="Times New Roman"/>
                <w:szCs w:val="26"/>
                <w:lang w:eastAsia="ru-RU"/>
              </w:rPr>
              <w:t>Закона Санкт-Петербурга от 23.09.2009 № 420-79 «Об организации местного самоуправления в Санкт-Петербурге», Законом Санкт-Петербурга от 04.06.2007 №230-42 «О профилактике правонарушений в Санкт-Петербурге»,</w:t>
            </w:r>
            <w:r w:rsidRPr="008D584B">
              <w:rPr>
                <w:rFonts w:eastAsia="Calibri" w:cs="Times New Roman"/>
                <w:color w:val="000000"/>
                <w:szCs w:val="26"/>
              </w:rPr>
              <w:t xml:space="preserve"> Уставом </w:t>
            </w:r>
            <w:r w:rsidRPr="008D584B">
              <w:rPr>
                <w:rFonts w:eastAsia="Calibri" w:cs="Times New Roman"/>
                <w:szCs w:val="26"/>
              </w:rPr>
              <w:t xml:space="preserve">внутригородского муниципального образования </w:t>
            </w:r>
            <w:r>
              <w:rPr>
                <w:rFonts w:eastAsia="Calibri" w:cs="Times New Roman"/>
                <w:szCs w:val="26"/>
              </w:rPr>
              <w:t>города федерального значения</w:t>
            </w:r>
            <w:proofErr w:type="gramEnd"/>
            <w:r>
              <w:rPr>
                <w:rFonts w:eastAsia="Calibri" w:cs="Times New Roman"/>
                <w:szCs w:val="26"/>
              </w:rPr>
              <w:t xml:space="preserve">                </w:t>
            </w:r>
            <w:proofErr w:type="gramStart"/>
            <w:r w:rsidRPr="008D584B">
              <w:rPr>
                <w:rFonts w:eastAsia="Calibri" w:cs="Times New Roman"/>
                <w:szCs w:val="26"/>
              </w:rPr>
              <w:t>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</w:t>
            </w:r>
            <w:r>
              <w:rPr>
                <w:rFonts w:eastAsia="Calibri" w:cs="Times New Roman"/>
                <w:szCs w:val="26"/>
              </w:rPr>
              <w:t>ный округ Северный,</w:t>
            </w:r>
            <w:r w:rsidRPr="008D584B">
              <w:rPr>
                <w:rFonts w:eastAsia="Calibri" w:cs="Times New Roman"/>
                <w:szCs w:val="26"/>
              </w:rPr>
              <w:t xml:space="preserve"> постановлением Местной администрации от 13.10.2017 №50 </w:t>
            </w:r>
            <w:r>
              <w:rPr>
                <w:rFonts w:eastAsia="Calibri" w:cs="Times New Roman"/>
                <w:szCs w:val="26"/>
              </w:rPr>
              <w:t xml:space="preserve">                        </w:t>
            </w:r>
            <w:r w:rsidRPr="008D584B">
              <w:rPr>
                <w:rFonts w:eastAsia="Calibri" w:cs="Times New Roman"/>
                <w:szCs w:val="26"/>
              </w:rPr>
              <w:t>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29.11.2019 №80-МА-2018 «Об утверждении в новой редакции постановления Местной администрации от</w:t>
            </w:r>
            <w:proofErr w:type="gramEnd"/>
            <w:r w:rsidRPr="008D584B">
              <w:rPr>
                <w:rFonts w:eastAsia="Calibri" w:cs="Times New Roman"/>
                <w:szCs w:val="26"/>
              </w:rPr>
              <w:t xml:space="preserve"> 13.10.2017 №50»,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      </w:r>
            <w:r>
              <w:rPr>
                <w:rFonts w:eastAsia="Calibri" w:cs="Times New Roman"/>
                <w:szCs w:val="26"/>
              </w:rPr>
              <w:t xml:space="preserve">п. 3 </w:t>
            </w:r>
            <w:r w:rsidRPr="008D584B">
              <w:rPr>
                <w:rFonts w:eastAsia="Calibri" w:cs="Times New Roman"/>
                <w:szCs w:val="26"/>
              </w:rPr>
              <w:t>ст.179 Бюджетного кодекса Российской Федерации, Местная администрация</w:t>
            </w:r>
          </w:p>
          <w:p w:rsidR="008D584B" w:rsidRPr="008D584B" w:rsidRDefault="008D584B" w:rsidP="008D584B">
            <w:pPr>
              <w:tabs>
                <w:tab w:val="left" w:pos="706"/>
              </w:tabs>
              <w:ind w:left="-108" w:right="-108" w:firstLine="709"/>
              <w:jc w:val="both"/>
              <w:rPr>
                <w:rFonts w:eastAsia="Calibri" w:cs="Times New Roman"/>
                <w:szCs w:val="26"/>
              </w:rPr>
            </w:pPr>
            <w:r w:rsidRPr="008D584B">
              <w:rPr>
                <w:rFonts w:eastAsia="Calibri" w:cs="Times New Roman"/>
                <w:szCs w:val="26"/>
              </w:rPr>
              <w:t>ПОСТАНОВЛЯЕТ:</w:t>
            </w:r>
          </w:p>
          <w:p w:rsidR="008D584B" w:rsidRPr="008D584B" w:rsidRDefault="008D584B" w:rsidP="008D584B">
            <w:pPr>
              <w:tabs>
                <w:tab w:val="left" w:pos="851"/>
              </w:tabs>
              <w:ind w:right="-108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        1. Утвердить муниципальную программу, финансируемую за счет средств местного бюджета, «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>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</w:t>
            </w:r>
            <w:r w:rsidRPr="008D584B">
              <w:rPr>
                <w:rFonts w:eastAsia="Calibri" w:cs="Times New Roman"/>
                <w:szCs w:val="26"/>
                <w:lang w:eastAsia="ru-RU"/>
              </w:rPr>
              <w:t>» на 2021 год согласно приложению к настоящему постановлению.</w:t>
            </w:r>
          </w:p>
          <w:p w:rsidR="008D584B" w:rsidRPr="008D584B" w:rsidRDefault="008D584B" w:rsidP="008D584B">
            <w:pPr>
              <w:tabs>
                <w:tab w:val="left" w:pos="851"/>
              </w:tabs>
              <w:ind w:right="-108" w:firstLine="601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2. Настоящее постановление вступает в силу с момента принятия.</w:t>
            </w:r>
          </w:p>
          <w:p w:rsidR="008D584B" w:rsidRPr="008D584B" w:rsidRDefault="008D584B" w:rsidP="008D584B">
            <w:pPr>
              <w:tabs>
                <w:tab w:val="left" w:pos="851"/>
              </w:tabs>
              <w:ind w:right="-108" w:firstLine="601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3. Контроль над исполнением настоящего постановления возложить на Главу Местной администрации.</w:t>
            </w:r>
          </w:p>
          <w:p w:rsidR="008D584B" w:rsidRPr="008D584B" w:rsidRDefault="008D584B" w:rsidP="008D584B">
            <w:pPr>
              <w:tabs>
                <w:tab w:val="left" w:pos="851"/>
              </w:tabs>
              <w:spacing w:before="240" w:after="240"/>
              <w:ind w:right="-108"/>
              <w:jc w:val="both"/>
              <w:rPr>
                <w:rFonts w:eastAsia="Calibri" w:cs="Times New Roman"/>
                <w:szCs w:val="26"/>
              </w:rPr>
            </w:pPr>
            <w:r w:rsidRPr="008D584B">
              <w:rPr>
                <w:rFonts w:eastAsia="Calibri" w:cs="Times New Roman"/>
                <w:szCs w:val="26"/>
              </w:rPr>
              <w:t xml:space="preserve">Глава Местной администрации                                                                С.В. </w:t>
            </w:r>
            <w:proofErr w:type="spellStart"/>
            <w:r w:rsidRPr="008D584B">
              <w:rPr>
                <w:rFonts w:eastAsia="Calibri" w:cs="Times New Roman"/>
                <w:szCs w:val="26"/>
              </w:rPr>
              <w:t>Пустосмехова</w:t>
            </w:r>
            <w:proofErr w:type="spellEnd"/>
          </w:p>
        </w:tc>
      </w:tr>
    </w:tbl>
    <w:p w:rsidR="008D584B" w:rsidRPr="008D584B" w:rsidRDefault="008D584B" w:rsidP="008D584B">
      <w:pPr>
        <w:tabs>
          <w:tab w:val="left" w:pos="4395"/>
        </w:tabs>
        <w:spacing w:before="720"/>
        <w:jc w:val="both"/>
        <w:rPr>
          <w:rFonts w:eastAsia="Times New Roman" w:cs="Times New Roman"/>
          <w:szCs w:val="26"/>
          <w:lang w:eastAsia="ru-RU"/>
        </w:rPr>
        <w:sectPr w:rsidR="008D584B" w:rsidRPr="008D584B" w:rsidSect="00291382">
          <w:headerReference w:type="default" r:id="rId8"/>
          <w:pgSz w:w="11906" w:h="16838" w:code="9"/>
          <w:pgMar w:top="709" w:right="425" w:bottom="567" w:left="1531" w:header="709" w:footer="709" w:gutter="0"/>
          <w:cols w:space="708"/>
          <w:docGrid w:linePitch="360"/>
        </w:sectPr>
      </w:pPr>
    </w:p>
    <w:p w:rsidR="008D584B" w:rsidRPr="008D584B" w:rsidRDefault="008D584B" w:rsidP="008D584B">
      <w:pPr>
        <w:tabs>
          <w:tab w:val="left" w:pos="7797"/>
        </w:tabs>
        <w:jc w:val="right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lastRenderedPageBreak/>
        <w:t xml:space="preserve">Приложение к постановлению  </w:t>
      </w:r>
      <w:r w:rsidRPr="008D584B">
        <w:rPr>
          <w:rFonts w:eastAsia="Times New Roman" w:cs="Times New Roman"/>
          <w:szCs w:val="26"/>
          <w:lang w:eastAsia="ru-RU"/>
        </w:rPr>
        <w:br/>
        <w:t xml:space="preserve">Местной администрации </w:t>
      </w:r>
      <w:r w:rsidRPr="008D584B">
        <w:rPr>
          <w:rFonts w:eastAsia="Times New Roman" w:cs="Times New Roman"/>
          <w:szCs w:val="26"/>
          <w:lang w:eastAsia="ru-RU"/>
        </w:rPr>
        <w:br/>
        <w:t>от «14» декабря 2020 № 88-МА-2020</w:t>
      </w:r>
    </w:p>
    <w:p w:rsidR="008D584B" w:rsidRPr="008D584B" w:rsidRDefault="008D584B" w:rsidP="008D584B">
      <w:pPr>
        <w:tabs>
          <w:tab w:val="left" w:pos="7797"/>
        </w:tabs>
        <w:ind w:left="5670"/>
        <w:jc w:val="right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br/>
      </w: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  <w:r w:rsidRPr="008D584B">
        <w:rPr>
          <w:rFonts w:eastAsia="Times New Roman" w:cs="Times New Roman"/>
          <w:b/>
          <w:bCs/>
          <w:szCs w:val="26"/>
          <w:lang w:eastAsia="ru-RU"/>
        </w:rPr>
        <w:t>МУНИЦИПАЛЬНАЯ ПРОГРАММА</w:t>
      </w: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caps/>
          <w:szCs w:val="26"/>
          <w:lang w:eastAsia="ru-RU"/>
        </w:rPr>
      </w:pPr>
      <w:r w:rsidRPr="008D584B">
        <w:rPr>
          <w:rFonts w:eastAsia="Times New Roman" w:cs="Times New Roman"/>
          <w:b/>
          <w:caps/>
          <w:szCs w:val="26"/>
          <w:lang w:eastAsia="ru-RU"/>
        </w:rPr>
        <w:t>ВНУТРИГОРОДСКОго Муниципального образования</w:t>
      </w:r>
      <w:r w:rsidRPr="008D584B">
        <w:rPr>
          <w:rFonts w:eastAsia="Times New Roman" w:cs="Times New Roman"/>
          <w:b/>
          <w:caps/>
          <w:szCs w:val="26"/>
          <w:lang w:eastAsia="ru-RU"/>
        </w:rPr>
        <w:br/>
      </w:r>
      <w:r>
        <w:rPr>
          <w:rFonts w:eastAsia="Times New Roman" w:cs="Times New Roman"/>
          <w:b/>
          <w:caps/>
          <w:szCs w:val="26"/>
          <w:lang w:eastAsia="ru-RU"/>
        </w:rPr>
        <w:t>города федерального значения</w:t>
      </w:r>
      <w:r w:rsidRPr="008D584B">
        <w:rPr>
          <w:rFonts w:eastAsia="Times New Roman" w:cs="Times New Roman"/>
          <w:b/>
          <w:caps/>
          <w:szCs w:val="26"/>
          <w:lang w:eastAsia="ru-RU"/>
        </w:rPr>
        <w:t xml:space="preserve"> САНКТ-ПЕТЕРБУРГА</w:t>
      </w: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b/>
          <w:caps/>
          <w:szCs w:val="26"/>
          <w:lang w:eastAsia="ru-RU"/>
        </w:rPr>
        <w:t xml:space="preserve">МУНИЦИПАЛЬНЫЙ ОКРУГ СЕВЕРНЫЙ </w:t>
      </w:r>
      <w:r w:rsidRPr="008D584B">
        <w:rPr>
          <w:rFonts w:eastAsia="Times New Roman" w:cs="Times New Roman"/>
          <w:b/>
          <w:caps/>
          <w:szCs w:val="26"/>
          <w:lang w:eastAsia="ru-RU"/>
        </w:rPr>
        <w:br/>
      </w:r>
      <w:r w:rsidRPr="008D584B">
        <w:rPr>
          <w:rFonts w:eastAsia="Times New Roman" w:cs="Times New Roman"/>
          <w:b/>
          <w:szCs w:val="26"/>
          <w:lang w:eastAsia="ru-RU"/>
        </w:rPr>
        <w:br/>
        <w:t>«РЕАЛИЗАЦИЯ МЕР ПО ПРОФИЛАКТИКЕ</w:t>
      </w:r>
      <w:r w:rsidRPr="008D584B">
        <w:rPr>
          <w:rFonts w:eastAsia="Times New Roman" w:cs="Times New Roman"/>
          <w:b/>
          <w:caps/>
          <w:szCs w:val="26"/>
          <w:lang w:eastAsia="ru-RU"/>
        </w:rPr>
        <w:br/>
      </w:r>
      <w:r w:rsidRPr="008D584B">
        <w:rPr>
          <w:rFonts w:eastAsia="Times New Roman" w:cs="Times New Roman"/>
          <w:b/>
          <w:szCs w:val="26"/>
          <w:lang w:eastAsia="ru-RU"/>
        </w:rPr>
        <w:t>ДОРОЖНО-ТРАНСПОРТНОГО ТРАВМАТИЗМА</w:t>
      </w:r>
      <w:r w:rsidRPr="008D584B">
        <w:rPr>
          <w:rFonts w:eastAsia="Times New Roman" w:cs="Times New Roman"/>
          <w:szCs w:val="26"/>
          <w:lang w:eastAsia="ru-RU"/>
        </w:rPr>
        <w:t xml:space="preserve">, </w:t>
      </w:r>
      <w:r w:rsidRPr="008D584B">
        <w:rPr>
          <w:rFonts w:eastAsia="Times New Roman" w:cs="Times New Roman"/>
          <w:b/>
          <w:szCs w:val="26"/>
          <w:lang w:eastAsia="ru-RU"/>
        </w:rPr>
        <w:t>ВКЛЮЧАЯ МОНТАЖ, СОДЕРЖАНИЕ И РЕМОНТ ИСКУССТВЕННЫХ НЕРОВНОСТЕЙ НА ВНУТРИКВАРТАЛЬНЫХ ПРОЕЗДАХ</w:t>
      </w:r>
      <w:r w:rsidRPr="008D584B">
        <w:rPr>
          <w:rFonts w:eastAsia="Times New Roman" w:cs="Times New Roman"/>
          <w:szCs w:val="26"/>
          <w:lang w:eastAsia="ru-RU"/>
        </w:rPr>
        <w:t>»</w:t>
      </w:r>
    </w:p>
    <w:p w:rsidR="008D584B" w:rsidRPr="008D584B" w:rsidRDefault="008D584B" w:rsidP="008D584B">
      <w:pPr>
        <w:keepNext/>
        <w:jc w:val="center"/>
        <w:outlineLvl w:val="0"/>
        <w:rPr>
          <w:rFonts w:eastAsia="Times New Roman" w:cs="Times New Roman"/>
          <w:b/>
          <w:caps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НА 2021 ГОД</w:t>
      </w: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Санкт-Петербург</w:t>
      </w:r>
      <w:r w:rsidRPr="008D584B">
        <w:rPr>
          <w:rFonts w:eastAsia="Times New Roman" w:cs="Times New Roman"/>
          <w:szCs w:val="26"/>
          <w:lang w:eastAsia="ru-RU"/>
        </w:rPr>
        <w:br/>
        <w:t>2020</w:t>
      </w:r>
    </w:p>
    <w:p w:rsidR="008D584B" w:rsidRPr="008D584B" w:rsidRDefault="008D584B" w:rsidP="008D584B">
      <w:pPr>
        <w:jc w:val="center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lastRenderedPageBreak/>
        <w:t>ПАСПОРТ</w:t>
      </w:r>
    </w:p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 xml:space="preserve">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2"/>
      </w:tblGrid>
      <w:tr w:rsidR="008D584B" w:rsidRPr="008D584B" w:rsidTr="00AB53A0"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932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«Реализация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проездах» (далее – Программа)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932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                         </w:t>
            </w: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в Российской Федерации»;</w:t>
            </w:r>
          </w:p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Федеральный закон от 10.12.1995 №196-ФЗ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                                 </w:t>
            </w: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«О безопасности дорожного движения»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(с изм. и</w:t>
            </w: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 доп., вступ. в силу с15.07.2016); пп.27 п.1 ст.10 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>Закон Санкт-Петербурга от 23.09.2009 № 420-79 «Об организации местного самоуправления в Санкт-Петербурге»; Закон Санкт-Петербурга от 04.06.2007 №230-42 «О профилактике правонарушений в Санкт-Петербурге»;</w:t>
            </w:r>
          </w:p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Устав внутригородского муниципального образования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города федерального значения 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>Санкт-Петербурга муниципальный округ Северный.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932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Местная администрация внутригородск</w:t>
            </w:r>
            <w:r>
              <w:rPr>
                <w:rFonts w:eastAsia="Times New Roman" w:cs="Times New Roman"/>
                <w:szCs w:val="26"/>
                <w:lang w:eastAsia="ru-RU"/>
              </w:rPr>
              <w:t>ого муниципального образования города федерального значения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Санкт-Петербурга муниципальный округ Северный (далее –МА МО </w:t>
            </w:r>
            <w:proofErr w:type="spellStart"/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Северный).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Организационный отдел МА МО </w:t>
            </w:r>
            <w:proofErr w:type="spellStart"/>
            <w:proofErr w:type="gramStart"/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Цели программы</w:t>
            </w:r>
          </w:p>
        </w:tc>
        <w:tc>
          <w:tcPr>
            <w:tcW w:w="6932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- формирование у населения муниципального образования МО </w:t>
            </w:r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Северный</w:t>
            </w:r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потребности соблюдения установленных правил дорожного движения в повседневной жизни;</w:t>
            </w:r>
          </w:p>
          <w:p w:rsidR="008D584B" w:rsidRPr="008D584B" w:rsidRDefault="008D584B" w:rsidP="008D584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- создание условий для проведения м</w:t>
            </w: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ероприятий по профилактике дорожно-транспортного травматизма на территории внутригородского муниципального образования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города федерального значения                            </w:t>
            </w: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Санкт-Петербурга муниципальный округ Северный.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Задачи программы</w:t>
            </w:r>
          </w:p>
        </w:tc>
        <w:tc>
          <w:tcPr>
            <w:tcW w:w="6932" w:type="dxa"/>
            <w:shd w:val="clear" w:color="auto" w:fill="auto"/>
          </w:tcPr>
          <w:p w:rsidR="008D584B" w:rsidRPr="008D584B" w:rsidRDefault="008D584B" w:rsidP="008D584B">
            <w:pPr>
              <w:suppressAutoHyphens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ar-SA"/>
              </w:rPr>
              <w:t xml:space="preserve"> - 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>предупреждение опасного поведения - детей дошкольного и младшего школьного возраста, участников дорожного движения; сокращение детского дорожно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softHyphen/>
              <w:t>-транспортного травматизма; - совершенствование организации движения транспорта и пешеходов в городах; разработка и реализация программы правового воспитания участников дорожного движения, культуры их поведения, а также профилактики до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softHyphen/>
              <w:t>рожно-транспортного травматизма;</w:t>
            </w:r>
          </w:p>
          <w:p w:rsidR="008D584B" w:rsidRPr="008D584B" w:rsidRDefault="008D584B" w:rsidP="008D584B">
            <w:pPr>
              <w:suppressAutoHyphens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- пропаганда необходимости соблюдения правил дорожного движения в повседневной жизни.</w:t>
            </w:r>
          </w:p>
          <w:p w:rsidR="008D584B" w:rsidRPr="008D584B" w:rsidRDefault="008D584B" w:rsidP="008D584B">
            <w:pPr>
              <w:suppressAutoHyphens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8D584B">
              <w:rPr>
                <w:rFonts w:eastAsia="Times New Roman" w:cs="Times New Roman"/>
                <w:szCs w:val="26"/>
                <w:shd w:val="clear" w:color="auto" w:fill="FFFFFF"/>
                <w:lang w:eastAsia="ru-RU"/>
              </w:rPr>
              <w:t xml:space="preserve"> монтаж, содержание и ремонт искусственных неровностей.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584B" w:rsidRPr="008D584B" w:rsidRDefault="008D584B" w:rsidP="008D584B">
            <w:pPr>
              <w:ind w:firstLine="34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2021 год.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Исполнитель </w:t>
            </w: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 xml:space="preserve">Организационный отдел МА МО </w:t>
            </w:r>
            <w:proofErr w:type="spellStart"/>
            <w:proofErr w:type="gramStart"/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Северный.</w:t>
            </w:r>
          </w:p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 xml:space="preserve">Отдел благоустройства МА МО </w:t>
            </w:r>
            <w:proofErr w:type="spellStart"/>
            <w:proofErr w:type="gramStart"/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32" w:type="dxa"/>
            <w:shd w:val="clear" w:color="auto" w:fill="auto"/>
          </w:tcPr>
          <w:p w:rsidR="008D584B" w:rsidRPr="008D584B" w:rsidRDefault="008D584B" w:rsidP="008D584B">
            <w:pPr>
              <w:numPr>
                <w:ilvl w:val="0"/>
                <w:numId w:val="1"/>
              </w:numPr>
              <w:tabs>
                <w:tab w:val="left" w:pos="180"/>
                <w:tab w:val="left" w:pos="730"/>
              </w:tabs>
              <w:ind w:left="34"/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Формирование у населения потребности соблюдения правил дорожного движения в повседневной жизни;</w:t>
            </w:r>
          </w:p>
          <w:p w:rsidR="008D584B" w:rsidRPr="008D584B" w:rsidRDefault="008D584B" w:rsidP="008D584B">
            <w:pPr>
              <w:numPr>
                <w:ilvl w:val="0"/>
                <w:numId w:val="1"/>
              </w:numPr>
              <w:tabs>
                <w:tab w:val="num" w:pos="175"/>
                <w:tab w:val="left" w:pos="730"/>
              </w:tabs>
              <w:ind w:left="34"/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Повышение эффективности 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>превентивных мер по предупреждению дорожно-транспортных происшествий;</w:t>
            </w:r>
          </w:p>
          <w:p w:rsidR="008D584B" w:rsidRPr="008D584B" w:rsidRDefault="008D584B" w:rsidP="008D584B">
            <w:pPr>
              <w:numPr>
                <w:ilvl w:val="0"/>
                <w:numId w:val="1"/>
              </w:numPr>
              <w:tabs>
                <w:tab w:val="num" w:pos="34"/>
                <w:tab w:val="left" w:pos="180"/>
                <w:tab w:val="left" w:pos="730"/>
              </w:tabs>
              <w:ind w:left="34"/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 Снижение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количества дорожно-транспортных происшествий и детского травматизма на территории МО </w:t>
            </w:r>
            <w:proofErr w:type="spellStart"/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Северный.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Источники финансирования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584B" w:rsidRPr="008D584B" w:rsidRDefault="008D584B" w:rsidP="008D584B">
            <w:pPr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Местный бюджет</w:t>
            </w:r>
          </w:p>
        </w:tc>
      </w:tr>
      <w:tr w:rsidR="008D584B" w:rsidRPr="008D584B" w:rsidTr="00AB53A0"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Объем финансирования программы (тыс. руб.)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584B" w:rsidRPr="008D584B" w:rsidRDefault="008D584B" w:rsidP="008D584B">
            <w:pPr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250,0</w:t>
            </w:r>
          </w:p>
        </w:tc>
      </w:tr>
      <w:tr w:rsidR="008D584B" w:rsidRPr="008D584B" w:rsidTr="00AB53A0">
        <w:trPr>
          <w:trHeight w:val="135"/>
        </w:trPr>
        <w:tc>
          <w:tcPr>
            <w:tcW w:w="263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proofErr w:type="gramStart"/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Контроль за</w:t>
            </w:r>
            <w:proofErr w:type="gramEnd"/>
            <w:r w:rsidRPr="008D584B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Глава Местной администрации</w:t>
            </w:r>
          </w:p>
        </w:tc>
      </w:tr>
    </w:tbl>
    <w:p w:rsidR="008D584B" w:rsidRPr="008D584B" w:rsidRDefault="008D584B" w:rsidP="008D584B">
      <w:pPr>
        <w:tabs>
          <w:tab w:val="left" w:leader="underscore" w:pos="6237"/>
        </w:tabs>
        <w:suppressAutoHyphens/>
        <w:spacing w:before="240" w:after="120"/>
        <w:ind w:firstLine="567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8D584B">
        <w:rPr>
          <w:rFonts w:eastAsia="Times New Roman" w:cs="Times New Roman"/>
          <w:b/>
          <w:bCs/>
          <w:caps/>
          <w:szCs w:val="26"/>
          <w:lang w:eastAsia="ru-RU"/>
        </w:rPr>
        <w:t>2. Содержание проблемы и обоснование необходимости ее решения программными методами: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D584B">
        <w:rPr>
          <w:rFonts w:eastAsia="Times New Roman" w:cs="Times New Roman"/>
          <w:szCs w:val="26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8D584B">
        <w:rPr>
          <w:rFonts w:eastAsia="Times New Roman" w:cs="Times New Roman"/>
          <w:szCs w:val="26"/>
          <w:lang w:eastAsia="ru-RU"/>
        </w:rPr>
        <w:t xml:space="preserve"> и крайне низкой дисциплиной участников дорожного движения.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Основными видами дорожно-транспортных про</w:t>
      </w:r>
      <w:r w:rsidRPr="008D584B">
        <w:rPr>
          <w:rFonts w:eastAsia="Times New Roman" w:cs="Times New Roman"/>
          <w:szCs w:val="26"/>
          <w:lang w:eastAsia="ru-RU"/>
        </w:rPr>
        <w:softHyphen/>
        <w:t>исшествий в России являются наезд на пешехода, препятствие и на стоящее транспортное средство, столкновение и опрокидывание, управление автотранспортом в состоянии алкогольного и наркотического опьянения.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Сложная обстановка с аварийностью и наличие тенденций к дальнейшему ухудшению ситуации во многом объ</w:t>
      </w:r>
      <w:r w:rsidRPr="008D584B">
        <w:rPr>
          <w:rFonts w:eastAsia="Times New Roman" w:cs="Times New Roman"/>
          <w:szCs w:val="26"/>
          <w:lang w:eastAsia="ru-RU"/>
        </w:rPr>
        <w:softHyphen/>
        <w:t>ясняются следующими причинами:</w:t>
      </w:r>
    </w:p>
    <w:p w:rsidR="008D584B" w:rsidRPr="008D584B" w:rsidRDefault="008D584B" w:rsidP="008D584B">
      <w:pPr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-постоянно возрастающая мобильность населения;</w:t>
      </w:r>
    </w:p>
    <w:p w:rsidR="008D584B" w:rsidRPr="008D584B" w:rsidRDefault="008D584B" w:rsidP="008D584B">
      <w:pPr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8D584B" w:rsidRPr="008D584B" w:rsidRDefault="008D584B" w:rsidP="008D584B">
      <w:pPr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Изучение особенностей современного дорожно-транспортного травматизма показывает, что происходит посте</w:t>
      </w:r>
      <w:r w:rsidRPr="008D584B">
        <w:rPr>
          <w:rFonts w:eastAsia="Times New Roman" w:cs="Times New Roman"/>
          <w:szCs w:val="26"/>
          <w:lang w:eastAsia="ru-RU"/>
        </w:rPr>
        <w:softHyphen/>
        <w:t>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Государственное и общественное воздействие на участников дорожного движения с целью формирования устой</w:t>
      </w:r>
      <w:r w:rsidRPr="008D584B">
        <w:rPr>
          <w:rFonts w:eastAsia="Times New Roman" w:cs="Times New Roman"/>
          <w:szCs w:val="26"/>
          <w:lang w:eastAsia="ru-RU"/>
        </w:rPr>
        <w:softHyphen/>
        <w:t xml:space="preserve">чивых стереотипов законопослушного </w:t>
      </w:r>
      <w:r w:rsidRPr="008D584B">
        <w:rPr>
          <w:rFonts w:eastAsia="Times New Roman" w:cs="Times New Roman"/>
          <w:szCs w:val="26"/>
          <w:lang w:eastAsia="ru-RU"/>
        </w:rPr>
        <w:lastRenderedPageBreak/>
        <w:t xml:space="preserve">поведения осуществляется на недостаточном уровне. Ситуация усугубляется всеобщим правовым нигилизмом, осознанием юридической безответственности за </w:t>
      </w:r>
      <w:r>
        <w:rPr>
          <w:rFonts w:eastAsia="Times New Roman" w:cs="Times New Roman"/>
          <w:szCs w:val="26"/>
          <w:lang w:eastAsia="ru-RU"/>
        </w:rPr>
        <w:t>совершенные правонарушения, без</w:t>
      </w:r>
      <w:r w:rsidRPr="008D584B">
        <w:rPr>
          <w:rFonts w:eastAsia="Times New Roman" w:cs="Times New Roman"/>
          <w:szCs w:val="26"/>
          <w:lang w:eastAsia="ru-RU"/>
        </w:rPr>
        <w:t>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</w:t>
      </w:r>
      <w:r>
        <w:rPr>
          <w:rFonts w:eastAsia="Times New Roman" w:cs="Times New Roman"/>
          <w:szCs w:val="26"/>
          <w:lang w:eastAsia="ru-RU"/>
        </w:rPr>
        <w:t xml:space="preserve"> недоста</w:t>
      </w:r>
      <w:r w:rsidRPr="008D584B">
        <w:rPr>
          <w:rFonts w:eastAsia="Times New Roman" w:cs="Times New Roman"/>
          <w:szCs w:val="26"/>
          <w:lang w:eastAsia="ru-RU"/>
        </w:rPr>
        <w:t>точным вовлечением населения в деятельность по предупреждению дорожно-транспортных происшествий.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8D584B" w:rsidRPr="008D584B" w:rsidRDefault="008D584B" w:rsidP="008D584B">
      <w:pPr>
        <w:spacing w:after="240"/>
        <w:ind w:firstLine="567"/>
        <w:rPr>
          <w:rFonts w:eastAsia="Times New Roman" w:cs="Times New Roman"/>
          <w:b/>
          <w:bCs/>
          <w:caps/>
          <w:szCs w:val="26"/>
          <w:lang w:eastAsia="ru-RU"/>
        </w:rPr>
      </w:pPr>
      <w:r w:rsidRPr="008D584B">
        <w:rPr>
          <w:rFonts w:eastAsia="Times New Roman" w:cs="Times New Roman"/>
          <w:b/>
          <w:bCs/>
          <w:caps/>
          <w:szCs w:val="26"/>
          <w:lang w:eastAsia="ru-RU"/>
        </w:rPr>
        <w:t>3.</w:t>
      </w:r>
      <w:r w:rsidRPr="008D584B">
        <w:rPr>
          <w:rFonts w:eastAsia="Times New Roman" w:cs="Times New Roman"/>
          <w:b/>
          <w:bCs/>
          <w:caps/>
          <w:szCs w:val="26"/>
          <w:lang w:val="en-US" w:eastAsia="ru-RU"/>
        </w:rPr>
        <w:t> </w:t>
      </w:r>
      <w:r w:rsidRPr="008D584B">
        <w:rPr>
          <w:rFonts w:eastAsia="Times New Roman" w:cs="Times New Roman"/>
          <w:b/>
          <w:bCs/>
          <w:szCs w:val="26"/>
          <w:lang w:eastAsia="ru-RU"/>
        </w:rPr>
        <w:t>ПЕРЕЧЕНЬ</w:t>
      </w:r>
      <w:r w:rsidRPr="008D584B">
        <w:rPr>
          <w:rFonts w:eastAsia="Times New Roman" w:cs="Times New Roman"/>
          <w:b/>
          <w:bCs/>
          <w:caps/>
          <w:szCs w:val="26"/>
          <w:lang w:eastAsia="ru-RU"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1135"/>
        <w:gridCol w:w="1134"/>
      </w:tblGrid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 w:val="restart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Наименование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Ожидаемые конечные </w:t>
            </w:r>
            <w:r w:rsidRPr="008D584B">
              <w:rPr>
                <w:rFonts w:eastAsia="Times New Roman" w:cs="Times New Roman"/>
                <w:szCs w:val="26"/>
                <w:lang w:eastAsia="ru-RU"/>
              </w:rPr>
              <w:br/>
              <w:t>результаты</w:t>
            </w:r>
          </w:p>
        </w:tc>
        <w:tc>
          <w:tcPr>
            <w:tcW w:w="1135" w:type="dxa"/>
            <w:vMerge w:val="restart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Объем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финансиро-вания</w:t>
            </w:r>
            <w:proofErr w:type="spellEnd"/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>, тыс. руб.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кол-во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tabs>
                <w:tab w:val="left" w:pos="259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6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709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tabs>
                <w:tab w:val="left" w:pos="259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Размещение в муниципальной газете «Северные вести» и/или </w:t>
            </w:r>
            <w:r w:rsidR="00CF1923">
              <w:rPr>
                <w:rFonts w:eastAsia="Times New Roman" w:cs="Times New Roman"/>
                <w:szCs w:val="26"/>
                <w:lang w:eastAsia="ru-RU"/>
              </w:rPr>
              <w:t xml:space="preserve">на официальном сайте МО </w:t>
            </w:r>
            <w:proofErr w:type="spellStart"/>
            <w:proofErr w:type="gramStart"/>
            <w:r w:rsidR="00CF19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Северный в информационно-телекоммуникационной сети «Интернет», материалов, направленных на профилактику дорожно-транспортного травматизма.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кол-во материалов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0,0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 Издание и распространение информационных материалов и печатной продукции по вопросу профилактики дорожно-транспортного травматизма на территории в границах МО </w:t>
            </w:r>
            <w:proofErr w:type="spellStart"/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2000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highlight w:val="yellow"/>
                <w:lang w:eastAsia="ru-RU"/>
              </w:rPr>
            </w:pP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40,0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Акция по профилактике дорожно-транспортного травматизма детей на дорогах, с распространением листовок.</w:t>
            </w:r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highlight w:val="yellow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0.0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Организация и проведение видео-трансляции мультфильмов для детей по правилам дорожного движения в сообществе «Муниципальное образование </w:t>
            </w:r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Северный</w:t>
            </w:r>
            <w:proofErr w:type="gram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», в социальной сети </w:t>
            </w:r>
            <w:proofErr w:type="spell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ВКонтакте</w:t>
            </w:r>
            <w:proofErr w:type="spell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кол</w:t>
            </w:r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.</w:t>
            </w:r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т</w:t>
            </w:r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>рансляций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0.0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Организация и проведение мероприятия по профилактике дорожно-транспортного травматизма для пожилых людей </w:t>
            </w:r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Кол-во мер/кол-во участников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1/20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0,0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Организация и проведение конкурса рисунков «О правилах движения всем без исключения»</w:t>
            </w:r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Кол-во мер/кол-во участников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2/15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10.0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7.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Проведение акции «Безопасный двор» (в рамках мероприятия «Внимание-Дети».</w:t>
            </w:r>
            <w:proofErr w:type="gramEnd"/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Кол-во мер/ кол-во участников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1/80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0,0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4393" w:type="dxa"/>
            <w:vAlign w:val="center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Монтаж, содержание и ремонт искусственных дорожных неровностей на внутриквартальных проездах</w:t>
            </w:r>
          </w:p>
        </w:tc>
        <w:tc>
          <w:tcPr>
            <w:tcW w:w="992" w:type="dxa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Кол-во штук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200.0</w:t>
            </w:r>
          </w:p>
        </w:tc>
      </w:tr>
      <w:tr w:rsidR="008D584B" w:rsidRPr="008D584B" w:rsidTr="00AB53A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222" w:type="dxa"/>
            <w:gridSpan w:val="5"/>
            <w:vAlign w:val="center"/>
          </w:tcPr>
          <w:p w:rsidR="008D584B" w:rsidRPr="008D584B" w:rsidRDefault="008D584B" w:rsidP="008D584B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szCs w:val="26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/>
                <w:szCs w:val="26"/>
                <w:lang w:eastAsia="ru-RU"/>
              </w:rPr>
              <w:t>250.0</w:t>
            </w:r>
          </w:p>
        </w:tc>
      </w:tr>
    </w:tbl>
    <w:p w:rsidR="008D584B" w:rsidRPr="008D584B" w:rsidRDefault="008D584B" w:rsidP="008D584B">
      <w:pPr>
        <w:tabs>
          <w:tab w:val="left" w:pos="-180"/>
        </w:tabs>
        <w:spacing w:after="240"/>
        <w:jc w:val="both"/>
        <w:rPr>
          <w:rFonts w:eastAsia="Times New Roman" w:cs="Times New Roman"/>
          <w:b/>
          <w:szCs w:val="26"/>
          <w:lang w:eastAsia="ru-RU"/>
        </w:rPr>
      </w:pPr>
    </w:p>
    <w:p w:rsidR="008D584B" w:rsidRPr="008D584B" w:rsidRDefault="008D584B" w:rsidP="008D584B">
      <w:pPr>
        <w:tabs>
          <w:tab w:val="left" w:pos="-180"/>
        </w:tabs>
        <w:spacing w:after="240"/>
        <w:ind w:firstLine="567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 xml:space="preserve">4. </w:t>
      </w:r>
      <w:r w:rsidRPr="008D584B">
        <w:rPr>
          <w:rFonts w:eastAsia="Times New Roman" w:cs="Times New Roman"/>
          <w:b/>
          <w:bCs/>
          <w:caps/>
          <w:szCs w:val="26"/>
          <w:lang w:eastAsia="ru-RU"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14"/>
        <w:gridCol w:w="1475"/>
      </w:tblGrid>
      <w:tr w:rsidR="008D584B" w:rsidRPr="008D584B" w:rsidTr="00AB53A0">
        <w:tc>
          <w:tcPr>
            <w:tcW w:w="565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Показатели результативности и эффективности мероприятий муниципальной программы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>Значение показателя</w:t>
            </w:r>
          </w:p>
        </w:tc>
      </w:tr>
      <w:tr w:rsidR="008D584B" w:rsidRPr="008D584B" w:rsidTr="00AB53A0">
        <w:tc>
          <w:tcPr>
            <w:tcW w:w="56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8D584B" w:rsidRPr="008D584B" w:rsidRDefault="008D584B" w:rsidP="008D584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Количество проведенных мероприятий, связанных с профилактикой дорожно-транспортного травматизма на территории муниципального образования по отношению </w:t>
            </w:r>
            <w:proofErr w:type="gramStart"/>
            <w:r w:rsidRPr="008D584B">
              <w:rPr>
                <w:rFonts w:eastAsia="Times New Roman" w:cs="Times New Roman"/>
                <w:szCs w:val="26"/>
                <w:lang w:eastAsia="ru-RU"/>
              </w:rPr>
              <w:t>к</w:t>
            </w:r>
            <w:proofErr w:type="gramEnd"/>
            <w:r w:rsidRPr="008D584B">
              <w:rPr>
                <w:rFonts w:eastAsia="Times New Roman" w:cs="Times New Roman"/>
                <w:szCs w:val="26"/>
                <w:lang w:eastAsia="ru-RU"/>
              </w:rPr>
              <w:t xml:space="preserve"> запланированному, в процентах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  <w:tr w:rsidR="008D584B" w:rsidRPr="008D584B" w:rsidTr="00AB53A0">
        <w:tc>
          <w:tcPr>
            <w:tcW w:w="56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2.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8D584B" w:rsidRPr="008D584B" w:rsidRDefault="008D584B" w:rsidP="008D584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к</w:t>
            </w:r>
            <w:proofErr w:type="gram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 xml:space="preserve"> запланированной, в процентах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</w:tbl>
    <w:p w:rsidR="008D584B" w:rsidRPr="008D584B" w:rsidRDefault="008D584B" w:rsidP="008D584B">
      <w:pPr>
        <w:tabs>
          <w:tab w:val="left" w:pos="-360"/>
        </w:tabs>
        <w:spacing w:before="240" w:after="240"/>
        <w:ind w:firstLine="709"/>
        <w:jc w:val="both"/>
        <w:rPr>
          <w:rFonts w:eastAsia="Times New Roman" w:cs="Times New Roman"/>
          <w:b/>
          <w:bCs/>
          <w:szCs w:val="26"/>
          <w:lang w:eastAsia="ru-RU"/>
        </w:rPr>
      </w:pPr>
      <w:r w:rsidRPr="008D584B">
        <w:rPr>
          <w:rFonts w:eastAsia="Times New Roman" w:cs="Times New Roman"/>
          <w:b/>
          <w:bCs/>
          <w:caps/>
          <w:szCs w:val="26"/>
          <w:lang w:eastAsia="ru-RU"/>
        </w:rPr>
        <w:t xml:space="preserve">5. </w:t>
      </w:r>
      <w:r w:rsidRPr="008D584B">
        <w:rPr>
          <w:rFonts w:eastAsia="Times New Roman" w:cs="Times New Roman"/>
          <w:b/>
          <w:bCs/>
          <w:szCs w:val="26"/>
          <w:lang w:eastAsia="ru-RU"/>
        </w:rPr>
        <w:t>ОБОСНОВАНИЯ И РАСЧЕТЫ ОБЪЕМОВ ФИНАНСИРОВАНИЯ: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8D584B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8D584B">
        <w:rPr>
          <w:rFonts w:eastAsia="Times New Roman" w:cs="Times New Roman"/>
          <w:bCs/>
          <w:szCs w:val="26"/>
          <w:lang w:eastAsia="ru-RU"/>
        </w:rPr>
        <w:t xml:space="preserve"> Северный от 29.11.2019 №80-МА-2019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8D584B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8D584B">
        <w:rPr>
          <w:rFonts w:eastAsia="Times New Roman" w:cs="Times New Roman"/>
          <w:bCs/>
          <w:szCs w:val="26"/>
          <w:lang w:eastAsia="ru-RU"/>
        </w:rPr>
        <w:t xml:space="preserve"> Северный за предыдущие годы, с учетом роста индекса потребительских цен.</w:t>
      </w:r>
    </w:p>
    <w:p w:rsidR="00CF1923" w:rsidRDefault="00CF1923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8D584B" w:rsidRDefault="008D584B" w:rsidP="008D584B">
      <w:pPr>
        <w:jc w:val="center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lastRenderedPageBreak/>
        <w:t>Мероприятие №2</w:t>
      </w:r>
      <w:r w:rsidRPr="008D584B">
        <w:rPr>
          <w:rFonts w:eastAsia="Times New Roman" w:cs="Times New Roman"/>
          <w:bCs/>
          <w:szCs w:val="26"/>
          <w:lang w:eastAsia="ru-RU"/>
        </w:rPr>
        <w:t xml:space="preserve"> 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 xml:space="preserve">Издание информационных материалов и печатной продукции (буклеты или брошюры) по вопросу профилактики дорожно-транспортного травматизма на территории в границах МО </w:t>
      </w:r>
      <w:proofErr w:type="spellStart"/>
      <w:proofErr w:type="gramStart"/>
      <w:r w:rsidRPr="008D584B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8D584B">
        <w:rPr>
          <w:rFonts w:eastAsia="Times New Roman" w:cs="Times New Roman"/>
          <w:bCs/>
          <w:szCs w:val="26"/>
          <w:lang w:eastAsia="ru-RU"/>
        </w:rPr>
        <w:t xml:space="preserve"> Северный.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Сроки проведения: 1-4 кварталы 2021 года.</w:t>
      </w:r>
    </w:p>
    <w:p w:rsidR="008D584B" w:rsidRPr="008D584B" w:rsidRDefault="008D584B" w:rsidP="008D584B">
      <w:pPr>
        <w:ind w:firstLine="567"/>
        <w:rPr>
          <w:rFonts w:eastAsia="Times New Roman" w:cs="Times New Roman"/>
          <w:szCs w:val="26"/>
          <w:lang w:eastAsia="ru-RU"/>
        </w:rPr>
      </w:pPr>
      <w:r w:rsidRPr="008D584B">
        <w:rPr>
          <w:rFonts w:eastAsia="Times New Roman" w:cs="Times New Roman"/>
          <w:szCs w:val="26"/>
          <w:lang w:eastAsia="ru-RU"/>
        </w:rPr>
        <w:t>Количество печатной продукции: 2000 экземпляров.</w:t>
      </w:r>
    </w:p>
    <w:p w:rsidR="008D584B" w:rsidRPr="008D584B" w:rsidRDefault="008D584B" w:rsidP="008D584B">
      <w:pPr>
        <w:ind w:firstLine="567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07"/>
        <w:gridCol w:w="2381"/>
        <w:gridCol w:w="2016"/>
      </w:tblGrid>
      <w:tr w:rsidR="008D584B" w:rsidRPr="008D584B" w:rsidTr="00AB53A0">
        <w:trPr>
          <w:trHeight w:val="244"/>
        </w:trPr>
        <w:tc>
          <w:tcPr>
            <w:tcW w:w="815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№</w:t>
            </w:r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/п</w:t>
            </w:r>
          </w:p>
        </w:tc>
        <w:tc>
          <w:tcPr>
            <w:tcW w:w="4207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Количество</w:t>
            </w:r>
          </w:p>
        </w:tc>
        <w:tc>
          <w:tcPr>
            <w:tcW w:w="2016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Сумма</w:t>
            </w:r>
          </w:p>
        </w:tc>
      </w:tr>
      <w:tr w:rsidR="008D584B" w:rsidRPr="008D584B" w:rsidTr="00AB53A0">
        <w:trPr>
          <w:trHeight w:val="698"/>
        </w:trPr>
        <w:tc>
          <w:tcPr>
            <w:tcW w:w="815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4207" w:type="dxa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>Выпуск информационных буклетов (разработка макета, подбор материала).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2000 штук</w:t>
            </w:r>
          </w:p>
        </w:tc>
        <w:tc>
          <w:tcPr>
            <w:tcW w:w="2016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40,0</w:t>
            </w:r>
          </w:p>
        </w:tc>
      </w:tr>
      <w:tr w:rsidR="008D584B" w:rsidRPr="008D584B" w:rsidTr="00AB53A0">
        <w:trPr>
          <w:trHeight w:val="244"/>
        </w:trPr>
        <w:tc>
          <w:tcPr>
            <w:tcW w:w="815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4207" w:type="dxa"/>
          </w:tcPr>
          <w:p w:rsidR="008D584B" w:rsidRPr="008D584B" w:rsidRDefault="008D584B" w:rsidP="008D584B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Итого: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2016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40,00</w:t>
            </w:r>
          </w:p>
        </w:tc>
      </w:tr>
    </w:tbl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Мероприятие №6</w:t>
      </w: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 xml:space="preserve">Организация и проведение конкурса рисунков «О правилах движения всем без исключения» среди детей и подростков, проживающих на территории округа МО </w:t>
      </w:r>
      <w:proofErr w:type="spellStart"/>
      <w:proofErr w:type="gramStart"/>
      <w:r w:rsidRPr="008D584B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8D584B">
        <w:rPr>
          <w:rFonts w:eastAsia="Times New Roman" w:cs="Times New Roman"/>
          <w:bCs/>
          <w:szCs w:val="26"/>
          <w:lang w:eastAsia="ru-RU"/>
        </w:rPr>
        <w:t xml:space="preserve"> Северный</w:t>
      </w:r>
    </w:p>
    <w:p w:rsidR="008D584B" w:rsidRPr="008D584B" w:rsidRDefault="008D584B" w:rsidP="008D584B">
      <w:pPr>
        <w:ind w:firstLine="567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>Сроки проведения: 1-4 квартал 2021 года</w:t>
      </w:r>
    </w:p>
    <w:p w:rsidR="008D584B" w:rsidRPr="008D584B" w:rsidRDefault="008D584B" w:rsidP="008D584B">
      <w:pPr>
        <w:ind w:firstLine="567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>Участники мероприятия: дети дошкольного и школьного возраста, проживающие на территории округа.</w:t>
      </w:r>
    </w:p>
    <w:p w:rsidR="008D584B" w:rsidRPr="008D584B" w:rsidRDefault="008D584B" w:rsidP="008D584B">
      <w:pPr>
        <w:ind w:firstLine="567"/>
        <w:rPr>
          <w:rFonts w:eastAsia="Times New Roman" w:cs="Times New Roman"/>
          <w:bCs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08"/>
        <w:gridCol w:w="2381"/>
        <w:gridCol w:w="1981"/>
      </w:tblGrid>
      <w:tr w:rsidR="008D584B" w:rsidRPr="008D584B" w:rsidTr="00AB53A0">
        <w:trPr>
          <w:trHeight w:val="244"/>
        </w:trPr>
        <w:tc>
          <w:tcPr>
            <w:tcW w:w="752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№</w:t>
            </w:r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/п</w:t>
            </w:r>
          </w:p>
        </w:tc>
        <w:tc>
          <w:tcPr>
            <w:tcW w:w="4208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Количество</w:t>
            </w:r>
          </w:p>
        </w:tc>
        <w:tc>
          <w:tcPr>
            <w:tcW w:w="19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Сумма</w:t>
            </w:r>
          </w:p>
        </w:tc>
      </w:tr>
      <w:tr w:rsidR="008D584B" w:rsidRPr="008D584B" w:rsidTr="00AB53A0">
        <w:trPr>
          <w:trHeight w:val="1197"/>
        </w:trPr>
        <w:tc>
          <w:tcPr>
            <w:tcW w:w="752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4208" w:type="dxa"/>
          </w:tcPr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Конкурс рисунков </w:t>
            </w:r>
          </w:p>
          <w:p w:rsidR="008D584B" w:rsidRPr="008D584B" w:rsidRDefault="008D584B" w:rsidP="008D584B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Награждение участников конкурса (грамоты, настольные игры) 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8 игр</w:t>
            </w:r>
          </w:p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30 грамот</w:t>
            </w:r>
          </w:p>
        </w:tc>
        <w:tc>
          <w:tcPr>
            <w:tcW w:w="19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10,0</w:t>
            </w:r>
          </w:p>
        </w:tc>
      </w:tr>
      <w:tr w:rsidR="008D584B" w:rsidRPr="008D584B" w:rsidTr="00AB53A0">
        <w:trPr>
          <w:trHeight w:val="244"/>
        </w:trPr>
        <w:tc>
          <w:tcPr>
            <w:tcW w:w="752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4208" w:type="dxa"/>
          </w:tcPr>
          <w:p w:rsidR="008D584B" w:rsidRPr="008D584B" w:rsidRDefault="008D584B" w:rsidP="008D584B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Итого: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1981" w:type="dxa"/>
          </w:tcPr>
          <w:p w:rsidR="008D584B" w:rsidRPr="008D584B" w:rsidRDefault="008D584B" w:rsidP="008D584B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10,0</w:t>
            </w:r>
          </w:p>
        </w:tc>
      </w:tr>
    </w:tbl>
    <w:p w:rsidR="008D584B" w:rsidRPr="008D584B" w:rsidRDefault="008D584B" w:rsidP="008D584B">
      <w:pPr>
        <w:spacing w:before="100" w:beforeAutospacing="1" w:after="100" w:afterAutospacing="1"/>
        <w:jc w:val="center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Мероприятие №8</w:t>
      </w:r>
    </w:p>
    <w:p w:rsidR="008D584B" w:rsidRPr="008D584B" w:rsidRDefault="008D584B" w:rsidP="00CF1923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 xml:space="preserve">Монтаж, содержание и ремонт искусственных неровностей на территории внутригородского муниципального образования </w:t>
      </w:r>
      <w:r w:rsidR="00CF1923">
        <w:rPr>
          <w:rFonts w:eastAsia="Times New Roman" w:cs="Times New Roman"/>
          <w:bCs/>
          <w:szCs w:val="26"/>
          <w:lang w:eastAsia="ru-RU"/>
        </w:rPr>
        <w:t xml:space="preserve">города федерального значения </w:t>
      </w:r>
      <w:r w:rsidRPr="008D584B">
        <w:rPr>
          <w:rFonts w:eastAsia="Times New Roman" w:cs="Times New Roman"/>
          <w:bCs/>
          <w:szCs w:val="26"/>
          <w:lang w:eastAsia="ru-RU"/>
        </w:rPr>
        <w:t>Санкт-Петербурга муниципальный округ Северный</w:t>
      </w:r>
    </w:p>
    <w:p w:rsidR="008D584B" w:rsidRPr="008D584B" w:rsidRDefault="008D584B" w:rsidP="008D584B">
      <w:pPr>
        <w:ind w:firstLine="567"/>
        <w:rPr>
          <w:rFonts w:eastAsia="Times New Roman" w:cs="Times New Roman"/>
          <w:bCs/>
          <w:szCs w:val="26"/>
          <w:lang w:eastAsia="ru-RU"/>
        </w:rPr>
      </w:pPr>
      <w:r w:rsidRPr="008D584B">
        <w:rPr>
          <w:rFonts w:eastAsia="Times New Roman" w:cs="Times New Roman"/>
          <w:bCs/>
          <w:szCs w:val="26"/>
          <w:lang w:eastAsia="ru-RU"/>
        </w:rPr>
        <w:t>Сроки проведения: 1-4 квартал 2021 года</w:t>
      </w:r>
    </w:p>
    <w:p w:rsidR="008D584B" w:rsidRPr="008D584B" w:rsidRDefault="008D584B" w:rsidP="008D584B">
      <w:pPr>
        <w:rPr>
          <w:rFonts w:eastAsia="Times New Roman" w:cs="Times New Roman"/>
          <w:bCs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07"/>
        <w:gridCol w:w="2381"/>
        <w:gridCol w:w="2016"/>
      </w:tblGrid>
      <w:tr w:rsidR="008D584B" w:rsidRPr="008D584B" w:rsidTr="00AB53A0">
        <w:trPr>
          <w:trHeight w:val="244"/>
        </w:trPr>
        <w:tc>
          <w:tcPr>
            <w:tcW w:w="752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№</w:t>
            </w:r>
            <w:proofErr w:type="gramStart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/п</w:t>
            </w:r>
          </w:p>
        </w:tc>
        <w:tc>
          <w:tcPr>
            <w:tcW w:w="4207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Количество</w:t>
            </w:r>
          </w:p>
        </w:tc>
        <w:tc>
          <w:tcPr>
            <w:tcW w:w="2016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Сумма</w:t>
            </w:r>
          </w:p>
        </w:tc>
      </w:tr>
      <w:tr w:rsidR="008D584B" w:rsidRPr="008D584B" w:rsidTr="00AB53A0">
        <w:trPr>
          <w:trHeight w:val="671"/>
        </w:trPr>
        <w:tc>
          <w:tcPr>
            <w:tcW w:w="752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4207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Монтаж, содержание и ремонт искусственных неровностей на внутриквартальных проездах.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11 штук</w:t>
            </w:r>
          </w:p>
        </w:tc>
        <w:tc>
          <w:tcPr>
            <w:tcW w:w="2016" w:type="dxa"/>
          </w:tcPr>
          <w:p w:rsidR="008D584B" w:rsidRPr="008D584B" w:rsidRDefault="008D584B" w:rsidP="008D58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200,0</w:t>
            </w:r>
          </w:p>
        </w:tc>
      </w:tr>
      <w:tr w:rsidR="008D584B" w:rsidRPr="008D584B" w:rsidTr="00AB53A0">
        <w:trPr>
          <w:trHeight w:val="244"/>
        </w:trPr>
        <w:tc>
          <w:tcPr>
            <w:tcW w:w="752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4207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Итого:</w:t>
            </w:r>
          </w:p>
        </w:tc>
        <w:tc>
          <w:tcPr>
            <w:tcW w:w="2381" w:type="dxa"/>
          </w:tcPr>
          <w:p w:rsidR="008D584B" w:rsidRPr="008D584B" w:rsidRDefault="008D584B" w:rsidP="008D584B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2016" w:type="dxa"/>
          </w:tcPr>
          <w:p w:rsidR="008D584B" w:rsidRPr="008D584B" w:rsidRDefault="008D584B" w:rsidP="008D58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584B">
              <w:rPr>
                <w:rFonts w:eastAsia="Times New Roman" w:cs="Times New Roman"/>
                <w:bCs/>
                <w:szCs w:val="26"/>
                <w:lang w:eastAsia="ru-RU"/>
              </w:rPr>
              <w:t>200,0</w:t>
            </w:r>
          </w:p>
        </w:tc>
      </w:tr>
    </w:tbl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</w:p>
    <w:p w:rsidR="008D584B" w:rsidRPr="008D584B" w:rsidRDefault="008D584B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6.СОГЛАСОВАНИЕ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03"/>
        <w:gridCol w:w="2958"/>
        <w:gridCol w:w="2287"/>
      </w:tblGrid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bookmarkStart w:id="0" w:name="_GoBack"/>
            <w:bookmarkEnd w:id="0"/>
            <w:r w:rsidRPr="008D584B">
              <w:rPr>
                <w:rFonts w:eastAsia="Calibri" w:cs="Times New Roman"/>
                <w:szCs w:val="26"/>
                <w:lang w:eastAsia="ru-RU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2958" w:type="dxa"/>
            <w:shd w:val="clear" w:color="auto" w:fill="auto"/>
          </w:tcPr>
          <w:p w:rsidR="008D584B" w:rsidRPr="008D584B" w:rsidRDefault="00CF1923" w:rsidP="00CF1923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Отдел/Ф.И.О.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CF1923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П</w:t>
            </w:r>
            <w:r w:rsidR="008D584B" w:rsidRPr="008D584B">
              <w:rPr>
                <w:rFonts w:eastAsia="Calibri" w:cs="Times New Roman"/>
                <w:szCs w:val="26"/>
                <w:lang w:eastAsia="ru-RU"/>
              </w:rPr>
              <w:t>одпись</w:t>
            </w: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Инициатор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/Булгакова Т.И.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  2.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Заказчик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МА МО </w:t>
            </w:r>
            <w:proofErr w:type="spellStart"/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Северный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6"/>
                <w:lang w:eastAsia="ru-RU"/>
              </w:rPr>
              <w:t>Пустосмехова</w:t>
            </w:r>
            <w:proofErr w:type="spellEnd"/>
            <w:r>
              <w:rPr>
                <w:rFonts w:eastAsia="Calibri" w:cs="Times New Roman"/>
                <w:szCs w:val="26"/>
                <w:lang w:eastAsia="ru-RU"/>
              </w:rPr>
              <w:t xml:space="preserve"> С.В.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b/>
                <w:szCs w:val="26"/>
                <w:lang w:eastAsia="ru-RU"/>
              </w:rPr>
              <w:lastRenderedPageBreak/>
              <w:t xml:space="preserve">   </w:t>
            </w:r>
            <w:r w:rsidRPr="008D584B">
              <w:rPr>
                <w:rFonts w:eastAsia="Calibri" w:cs="Times New Roman"/>
                <w:szCs w:val="26"/>
                <w:lang w:eastAsia="ru-RU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Разработчик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Организационный отдел/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Гарасевич С.Е.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отдел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Булгакова Т.И.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благоустройства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Громов А.И.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Шилова Н.А.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</w:tbl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0597A" w:rsidRDefault="00E0597A" w:rsidP="00CD4C67">
      <w:pPr>
        <w:ind w:firstLine="709"/>
        <w:jc w:val="both"/>
      </w:pPr>
    </w:p>
    <w:p w:rsidR="009D1119" w:rsidRPr="00E0597A" w:rsidRDefault="009D1119" w:rsidP="009D1119">
      <w:pPr>
        <w:ind w:firstLine="709"/>
        <w:jc w:val="both"/>
      </w:pPr>
    </w:p>
    <w:sectPr w:rsidR="009D1119" w:rsidRPr="00E0597A" w:rsidSect="00E0597A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B" w:rsidRDefault="008D584B" w:rsidP="00E0597A">
      <w:r>
        <w:separator/>
      </w:r>
    </w:p>
  </w:endnote>
  <w:endnote w:type="continuationSeparator" w:id="0">
    <w:p w:rsidR="008D584B" w:rsidRDefault="008D584B" w:rsidP="00E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B" w:rsidRDefault="008D584B" w:rsidP="00E0597A">
      <w:r>
        <w:separator/>
      </w:r>
    </w:p>
  </w:footnote>
  <w:footnote w:type="continuationSeparator" w:id="0">
    <w:p w:rsidR="008D584B" w:rsidRDefault="008D584B" w:rsidP="00E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4B" w:rsidRDefault="008D584B" w:rsidP="008D584B">
    <w:pPr>
      <w:pStyle w:val="a3"/>
      <w:jc w:val="center"/>
    </w:pPr>
    <w:r>
      <w:rPr>
        <w:noProof/>
        <w:lang w:eastAsia="ru-RU"/>
      </w:rPr>
      <w:drawing>
        <wp:inline distT="0" distB="0" distL="0" distR="0" wp14:anchorId="2296B303" wp14:editId="0A5E49AB">
          <wp:extent cx="33337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tabs>
        <w:tab w:val="clear" w:pos="4677"/>
        <w:tab w:val="clear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A7"/>
    <w:multiLevelType w:val="hybridMultilevel"/>
    <w:tmpl w:val="D0C46E80"/>
    <w:lvl w:ilvl="0" w:tplc="D79AD7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306148"/>
    <w:rsid w:val="00734953"/>
    <w:rsid w:val="007A1B4A"/>
    <w:rsid w:val="008D584B"/>
    <w:rsid w:val="009D1119"/>
    <w:rsid w:val="00A41FDB"/>
    <w:rsid w:val="00C03921"/>
    <w:rsid w:val="00CD4C67"/>
    <w:rsid w:val="00CF1923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41;&#1083;&#1072;&#1085;&#1082;&#1080;%20&#1052;&#1040;%20&#1089;%2018.12.2020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Гарасевич Станислав Евгеньевич</dc:creator>
  <cp:lastModifiedBy>Гарасевич Станислав Евгеньевич</cp:lastModifiedBy>
  <cp:revision>2</cp:revision>
  <dcterms:created xsi:type="dcterms:W3CDTF">2021-01-11T11:06:00Z</dcterms:created>
  <dcterms:modified xsi:type="dcterms:W3CDTF">2021-01-11T11:06:00Z</dcterms:modified>
</cp:coreProperties>
</file>